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7541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 контрольной деятельности в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с.п. Джейрах</w:t>
      </w:r>
    </w:p>
    <w:p>
      <w:pPr>
        <w:pStyle w:val="P1"/>
        <w:numPr>
          <w:ilvl w:val="0"/>
          <w:numId w:val="1"/>
        </w:num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Общее положение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разработано в соответствии с Законом РФ «Об образовании», Типовым положением о дошкольном образовательном учреждении, Уставом учреждения и регламентирует содержание и порядок проведения контрольной деятельности в Учреждении.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  <w:br w:type="textWrapping"/>
        <w:t>Под контрольной деятельностью понимается проведение администрацией Учреждения наблюдений, обследований, осуществляемых в порядке руководства и контроля в пределах своей компетенции за соблюдение работниками Учреждения законодательных и других нормативно - правовых актов Российской Федерации, Учредителя, Учреждения.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Контрольная деятельность - мотивированный стимулирующий процесс,  который призван снять затруднения участников образовательного процесса и повысить его эффективность.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занимающиеся контрольной деятельностью, руководствуются Конституцией РФ, законодательством в области образования, нормативными правовыми актами, изданными Минобразованием РФ, Учредителем, локальными актами Учреждения.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Целями контрольной деятельности являются:</w:t>
        <w:br w:type="textWrapping"/>
        <w:t>- совершенствование деятельности Учреждения;</w:t>
        <w:br w:type="textWrapping"/>
        <w:t>- повышение профессионального мастерства и квалификации педагогических работников Учреждения;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действия данного положения неограничен. Данное Положение действует до принятия нового.</w:t>
      </w:r>
    </w:p>
    <w:p>
      <w:pPr>
        <w:pStyle w:val="P1"/>
        <w:ind w:left="360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1"/>
        </w:num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Принципы и основные задачи контрольной деятельности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должностных лиц осуществляющих контроль основывается на принципах уважения, законности, объективности, независимости и гласности.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контрольной деятельности являются:</w:t>
        <w:br w:type="textWrapping"/>
        <w:t>-контроль исполнения законодательства Российской Федерации, реализации принципов государственной политики в области дошкольного образования;</w:t>
        <w:br w:type="textWrapping"/>
        <w:t>-выявление случаев нарушений и неисполнения законодательных и иных нормативно- правовых актов, регламентирующих деятельность Учреждения, принятие мер по их пресечению;</w:t>
        <w:br w:type="textWrapping"/>
        <w:t>- анализ причин, лежащих в основе нарушений, принятие мер по их предупреждению;</w:t>
        <w:br w:type="textWrapping"/>
        <w:t>-защита прав и свобод участников образовательного процесса;</w:t>
        <w:br w:type="textWrapping"/>
        <w:t>-анализ и оценка эффективности результатов деятельности педагогических работников;</w:t>
        <w:br w:type="textWrapping"/>
        <w:t>-изучение результатов педагогической деятельности, выявлении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  <w:br w:type="textWrapping"/>
        <w:t>-совершенствование качества воспитания и образования воспитанников;</w:t>
        <w:br w:type="textWrapping"/>
        <w:t>- контроль реализации образовательных программ, соблюдения Устава и иных локальных актов Учреждения;</w:t>
        <w:br w:type="textWrapping"/>
        <w:t>- анализ результатов исполнения приказов по Учреждению;</w:t>
        <w:br w:type="textWrapping"/>
        <w:t>-анализ и прогнозирование тенденций развития образовательного процесса в Учреждении;</w:t>
        <w:br w:type="textWrapping"/>
        <w:t>-оказание методической помощи педагогическим работникам в процессе контроля.</w:t>
      </w:r>
    </w:p>
    <w:p>
      <w:pPr>
        <w:pStyle w:val="P1"/>
        <w:ind w:left="360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1"/>
        </w:num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Функции контрольной деятельности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ному образованию, методист, старшая медицинская сестра и иные работники, назначенные приказом заведующего Учреждением для контрольной деятельности, руководствуются системным подходом, который предполагает:</w:t>
        <w:br w:type="textWrapping"/>
        <w:t>-постоянство контроля, его осуществления по заранее разработанным алгоритмам, структурным схемам;</w:t>
        <w:br w:type="textWrapping"/>
        <w:t>-охват всех направлений педагогической деятельности;</w:t>
        <w:br w:type="textWrapping"/>
        <w:t>- широкое привлечение членов педагогического коллектива;</w:t>
        <w:br w:type="textWrapping"/>
        <w:t>- теоретическую и методическую подготовку;</w:t>
        <w:br w:type="textWrapping"/>
        <w:t>-комплексное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работников;</w:t>
        <w:br w:type="textWrapping"/>
        <w:t>-соблюдение последовательности контроля.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  <w:br w:type="textWrapping"/>
        <w:t xml:space="preserve">- контрольная деятельность в виде плановых проверок проходит в соответствии с утвержденным планом- графиком, который обеспечивает периодичность и исключает нерациональное  дублирование в организации проверок и доводится до членов педагогического коллектива в начале учебного года.</w:t>
        <w:br w:type="textWrapping"/>
        <w:t>-контрольная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урегулирования конфликтных ситуаций в отношениях между участниками образовательного процесса.</w:t>
        <w:br w:type="textWrapping"/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состояния здоровья воспитанников, организация питания, выполнение режимных моментов, исполнительская дисциплина, диагностика педагогического мастерства и т.д.)</w:t>
      </w:r>
    </w:p>
    <w:p>
      <w:pPr>
        <w:pStyle w:val="P1"/>
        <w:ind w:left="360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1"/>
        </w:num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Организация управления контрольной деятельностью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Контрольную деятельность в Учреждении осуществляют директор, заместитель директора по дошкольному образованию, методист,  старшая медицинская сестра, педагогические и иные работники, назначенные руководителем.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контроля, контрольная деятельность является составной частью годового плана работы Учреждения.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 и тематика проверок находится в исключительной компетенции заведующего Учреждением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контрольной деятельности:</w:t>
        <w:br w:type="textWrapping"/>
        <w:t>- заявление педагогического работника на аттестацию;</w:t>
        <w:br w:type="textWrapping"/>
        <w:t>- план - график контроля;</w:t>
        <w:br w:type="textWrapping"/>
        <w:t>- задание руководства Учредителя - проверка состояния дел для подготовки управленческих решений;</w:t>
        <w:br w:type="textWrapping"/>
        <w:t>-обращение физических и юридических лиц по поводу нарушений в области образования.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- задание предстоящего контроля, определение целей, объема, разработка схем ежемесячного оперативного контроля и аналитические карты составляются заведующим и старшим воспитателем перед началом каждого учебного года. Доводятся до членов педагогического коллектива в начале учебного года и находятся в доступном месте с целью своевременного информирования работников о его результатах.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Проверяющие имеют право запрашивать необходимую информацию, изучать документацию, относящуюся к предмету контроля.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обнаружении в ходе контрольной деятельности нарушений законодательства в области образования о них сообщается заведующему Учреждением.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проведении оперативных (экстренных) проверок педагогические и другие работники могут не предупреждаться заранее. Экстренным случаем считается устная или письменная жалоба родителей (законных представителей) на нарушение прав воспитанника, законодательства об образовании, а так же случаи грубого нарушения законодательства Российской Федерации, трудовой дисциплины работниками Учреждения.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контрольной деятельности оформляются в виде:</w:t>
        <w:br w:type="textWrapping"/>
        <w:t>-аналитической карты;</w:t>
        <w:br w:type="textWrapping"/>
        <w:t>-фиксирование данных в карте ежемесячного оперативного контроля;</w:t>
        <w:br w:type="textWrapping"/>
        <w:t>-справки о результатах контроля;</w:t>
        <w:br w:type="textWrapping"/>
        <w:t>акта о соблюдении инструкций по охране жизни и здоровья детей и требований СанПиН.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контрольной деятельности доводится до работников Учреждения:</w:t>
        <w:br w:type="textWrapping"/>
        <w:t>-справки, акты по истечении 3-х дней с момента контроля помещаются на информационные стенды Учреждения;</w:t>
        <w:br w:type="textWrapping"/>
        <w:t>-аналитические карты и карты ежемесячного оперативного контроля находятся в методическом кабинете и доступны каждому с целью ознакомления с его результатами.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контроля, в зависимости от его формы, целей, задач:</w:t>
        <w:br w:type="textWrapping"/>
        <w:t>-проводятся производственные собрания, рабочие совещания с педагогическим составом, административные совещания;</w:t>
        <w:br w:type="textWrapping"/>
        <w:t>-результаты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Учреждением по результатам контроля принимает следующие решения:</w:t>
        <w:br w:type="textWrapping"/>
        <w:t>-об издании соответствующего приказа;</w:t>
        <w:br w:type="textWrapping"/>
        <w:t>-о повторном проведении контроля;</w:t>
        <w:br w:type="textWrapping"/>
        <w:t>-о привлечении к дисциплинарной ответственности должностных лиц, педагогических и других работников;</w:t>
        <w:br w:type="textWrapping"/>
        <w:t>-о поощрении работников.</w:t>
      </w:r>
    </w:p>
    <w:p>
      <w:pPr>
        <w:pStyle w:val="P1"/>
        <w:ind w:left="360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1"/>
        </w:num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Права участников контрольной деятельности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контрольной деятельности проверяющий имеет право знакомиться с документацией в соответствии с функциональными обязанностями педагогического работника, аналитическими материалами педагога;</w:t>
        <w:br w:type="textWrapping"/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  <w:br w:type="textWrapping"/>
        <w:t>-проводить экспертизу педагогической деятельности;</w:t>
        <w:br w:type="textWrapping"/>
        <w:t xml:space="preserve">-проводить мониторинг  образовательного процесса с последующим анализом полученной информации;</w:t>
        <w:br w:type="textWrapping"/>
        <w:t>-делать выводы и принимать управленческие решения.</w:t>
      </w:r>
    </w:p>
    <w:p>
      <w:pPr>
        <w:pStyle w:val="P1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Проверяемый педагогический работник имеет право:</w:t>
        <w:br w:type="textWrapping"/>
        <w:t>-знать сроки контроля и критерии оценки его деятельности;</w:t>
        <w:br w:type="textWrapping"/>
        <w:t>-знать цель, содержание, виды, формы и методы контроля;</w:t>
        <w:br w:type="textWrapping"/>
        <w:t xml:space="preserve"> -своевременно знакомиться  с выводами и рекомендациями проверяющих.</w:t>
        <w:br w:type="textWrapping"/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50D6BB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180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